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EB5" w:rsidRPr="00EA3EB5" w:rsidRDefault="004D3A0F">
      <w:pPr>
        <w:rPr>
          <w:rFonts w:ascii="Arial" w:hAnsi="Arial" w:cs="Arial"/>
          <w:b/>
          <w:sz w:val="28"/>
          <w:szCs w:val="28"/>
        </w:rPr>
      </w:pPr>
      <w:r>
        <w:rPr>
          <w:rFonts w:ascii="Arial" w:hAnsi="Arial" w:cs="Arial"/>
          <w:b/>
          <w:sz w:val="28"/>
          <w:szCs w:val="28"/>
        </w:rPr>
        <w:t>Grade 5</w:t>
      </w:r>
      <w:r w:rsidR="00EA3EB5">
        <w:rPr>
          <w:rFonts w:ascii="Arial" w:hAnsi="Arial" w:cs="Arial"/>
          <w:b/>
          <w:sz w:val="28"/>
          <w:szCs w:val="28"/>
        </w:rPr>
        <w:t xml:space="preserve"> </w:t>
      </w:r>
      <w:r w:rsidR="00EA3EB5" w:rsidRPr="00EA3EB5">
        <w:rPr>
          <w:rFonts w:ascii="Arial" w:hAnsi="Arial" w:cs="Arial"/>
          <w:b/>
          <w:sz w:val="28"/>
          <w:szCs w:val="28"/>
        </w:rPr>
        <w:t>Advanced</w:t>
      </w:r>
      <w:r w:rsidR="00EA3EB5">
        <w:rPr>
          <w:rFonts w:ascii="Arial" w:hAnsi="Arial" w:cs="Arial"/>
          <w:b/>
          <w:sz w:val="28"/>
          <w:szCs w:val="28"/>
        </w:rPr>
        <w:t xml:space="preserve"> </w:t>
      </w:r>
      <w:r w:rsidR="00EA3EB5" w:rsidRPr="00EA3EB5">
        <w:rPr>
          <w:rFonts w:ascii="Arial" w:hAnsi="Arial" w:cs="Arial"/>
          <w:b/>
          <w:sz w:val="28"/>
          <w:szCs w:val="28"/>
        </w:rPr>
        <w:t>/</w:t>
      </w:r>
      <w:r w:rsidR="00EA3EB5">
        <w:rPr>
          <w:rFonts w:ascii="Arial" w:hAnsi="Arial" w:cs="Arial"/>
          <w:b/>
          <w:sz w:val="28"/>
          <w:szCs w:val="28"/>
        </w:rPr>
        <w:t xml:space="preserve"> </w:t>
      </w:r>
      <w:r w:rsidR="00EA3EB5" w:rsidRPr="00EA3EB5">
        <w:rPr>
          <w:rFonts w:ascii="Arial" w:hAnsi="Arial" w:cs="Arial"/>
          <w:b/>
          <w:sz w:val="28"/>
          <w:szCs w:val="28"/>
        </w:rPr>
        <w:t xml:space="preserve">Gifted and </w:t>
      </w:r>
      <w:r w:rsidRPr="00EA3EB5">
        <w:rPr>
          <w:rFonts w:ascii="Arial" w:hAnsi="Arial" w:cs="Arial"/>
          <w:b/>
          <w:sz w:val="28"/>
          <w:szCs w:val="28"/>
        </w:rPr>
        <w:t xml:space="preserve">Talented </w:t>
      </w:r>
      <w:r>
        <w:rPr>
          <w:rFonts w:ascii="Arial" w:hAnsi="Arial" w:cs="Arial"/>
          <w:b/>
          <w:sz w:val="28"/>
          <w:szCs w:val="28"/>
        </w:rPr>
        <w:t>(</w:t>
      </w:r>
      <w:r w:rsidR="00EA3EB5">
        <w:rPr>
          <w:rFonts w:ascii="Arial" w:hAnsi="Arial" w:cs="Arial"/>
          <w:b/>
          <w:sz w:val="28"/>
          <w:szCs w:val="28"/>
        </w:rPr>
        <w:t xml:space="preserve">GT) </w:t>
      </w:r>
      <w:r w:rsidR="00EA3EB5" w:rsidRPr="00EA3EB5">
        <w:rPr>
          <w:rFonts w:ascii="Arial" w:hAnsi="Arial" w:cs="Arial"/>
          <w:b/>
          <w:sz w:val="28"/>
          <w:szCs w:val="28"/>
        </w:rPr>
        <w:t>English Language Arts</w:t>
      </w:r>
    </w:p>
    <w:p w:rsidR="00EA3EB5" w:rsidRDefault="00EA3EB5">
      <w:pPr>
        <w:rPr>
          <w:rFonts w:ascii="Arial" w:hAnsi="Arial" w:cs="Arial"/>
          <w:sz w:val="22"/>
        </w:rPr>
      </w:pPr>
    </w:p>
    <w:p w:rsidR="00FB44C1" w:rsidRDefault="003861C4">
      <w:pPr>
        <w:rPr>
          <w:rFonts w:ascii="Arial" w:hAnsi="Arial" w:cs="Arial"/>
          <w:sz w:val="22"/>
        </w:rPr>
      </w:pPr>
      <w:r w:rsidRPr="008A03D6">
        <w:rPr>
          <w:rFonts w:ascii="Arial" w:hAnsi="Arial" w:cs="Arial"/>
          <w:sz w:val="22"/>
        </w:rPr>
        <w:t>Gifted and Talented</w:t>
      </w:r>
      <w:r w:rsidR="00EA3EB5">
        <w:rPr>
          <w:rFonts w:ascii="Arial" w:hAnsi="Arial" w:cs="Arial"/>
          <w:sz w:val="22"/>
        </w:rPr>
        <w:t xml:space="preserve"> (GT) </w:t>
      </w:r>
      <w:r w:rsidRPr="008A03D6">
        <w:rPr>
          <w:rFonts w:ascii="Arial" w:hAnsi="Arial" w:cs="Arial"/>
          <w:sz w:val="22"/>
        </w:rPr>
        <w:t xml:space="preserve">English Language Arts </w:t>
      </w:r>
      <w:r w:rsidR="008A03D6">
        <w:rPr>
          <w:rFonts w:ascii="Arial" w:hAnsi="Arial" w:cs="Arial"/>
          <w:sz w:val="22"/>
        </w:rPr>
        <w:t xml:space="preserve">lessons and units </w:t>
      </w:r>
      <w:r w:rsidRPr="008A03D6">
        <w:rPr>
          <w:rFonts w:ascii="Arial" w:hAnsi="Arial" w:cs="Arial"/>
          <w:sz w:val="22"/>
        </w:rPr>
        <w:t>model instructional approac</w:t>
      </w:r>
      <w:r w:rsidR="008A03D6" w:rsidRPr="008A03D6">
        <w:rPr>
          <w:rFonts w:ascii="Arial" w:hAnsi="Arial" w:cs="Arial"/>
          <w:sz w:val="22"/>
        </w:rPr>
        <w:t>hes to differentiate</w:t>
      </w:r>
      <w:r w:rsidRPr="008A03D6">
        <w:rPr>
          <w:rFonts w:ascii="Arial" w:hAnsi="Arial" w:cs="Arial"/>
          <w:sz w:val="22"/>
        </w:rPr>
        <w:t xml:space="preserve"> the Common Core State Standards</w:t>
      </w:r>
      <w:r w:rsidR="00FB44C1">
        <w:rPr>
          <w:rFonts w:ascii="Arial" w:hAnsi="Arial" w:cs="Arial"/>
          <w:sz w:val="22"/>
        </w:rPr>
        <w:t xml:space="preserve"> for advanced/ gifted and talented students</w:t>
      </w:r>
      <w:r w:rsidRPr="008A03D6">
        <w:rPr>
          <w:rFonts w:ascii="Arial" w:hAnsi="Arial" w:cs="Arial"/>
          <w:sz w:val="22"/>
        </w:rPr>
        <w:t xml:space="preserve">. </w:t>
      </w:r>
    </w:p>
    <w:p w:rsidR="00FB44C1" w:rsidRDefault="00FB44C1">
      <w:pPr>
        <w:rPr>
          <w:rFonts w:ascii="Arial" w:hAnsi="Arial" w:cs="Arial"/>
          <w:sz w:val="22"/>
        </w:rPr>
      </w:pPr>
    </w:p>
    <w:p w:rsidR="00FB44C1" w:rsidRDefault="003861C4">
      <w:pPr>
        <w:rPr>
          <w:rFonts w:ascii="Arial" w:hAnsi="Arial" w:cs="Arial"/>
          <w:sz w:val="22"/>
        </w:rPr>
      </w:pPr>
      <w:r w:rsidRPr="008A03D6">
        <w:rPr>
          <w:rFonts w:ascii="Arial" w:hAnsi="Arial" w:cs="Arial"/>
          <w:sz w:val="22"/>
        </w:rPr>
        <w:t xml:space="preserve">Gifted and talented students are defined in Maryland law as </w:t>
      </w:r>
      <w:r w:rsidRPr="00321F25">
        <w:rPr>
          <w:rFonts w:ascii="Arial" w:hAnsi="Arial" w:cs="Arial"/>
          <w:i/>
          <w:sz w:val="22"/>
        </w:rPr>
        <w:t>having outstanding talent and performing, or showing the potential for performing, at remarkably high levels when compared with their peers</w:t>
      </w:r>
      <w:r w:rsidRPr="00321F25">
        <w:rPr>
          <w:rFonts w:ascii="Arial" w:hAnsi="Arial" w:cs="Arial"/>
          <w:sz w:val="22"/>
        </w:rPr>
        <w:t xml:space="preserve"> (</w:t>
      </w:r>
      <w:r w:rsidR="00FB44C1">
        <w:rPr>
          <w:rFonts w:ascii="Arial" w:hAnsi="Arial" w:cs="Arial"/>
          <w:sz w:val="22"/>
        </w:rPr>
        <w:t xml:space="preserve">Maryland </w:t>
      </w:r>
      <w:r w:rsidRPr="00321F25">
        <w:rPr>
          <w:rFonts w:ascii="Arial" w:hAnsi="Arial" w:cs="Arial"/>
          <w:sz w:val="22"/>
        </w:rPr>
        <w:t xml:space="preserve">Annotated Code §8-201). </w:t>
      </w:r>
    </w:p>
    <w:p w:rsidR="00FB44C1" w:rsidRDefault="00FB44C1">
      <w:pPr>
        <w:rPr>
          <w:rFonts w:ascii="Arial" w:hAnsi="Arial" w:cs="Arial"/>
          <w:sz w:val="22"/>
        </w:rPr>
      </w:pPr>
    </w:p>
    <w:p w:rsidR="003861C4" w:rsidRDefault="003861C4">
      <w:pPr>
        <w:rPr>
          <w:rFonts w:ascii="Arial" w:hAnsi="Arial" w:cs="Arial"/>
          <w:sz w:val="22"/>
        </w:rPr>
      </w:pPr>
      <w:r w:rsidRPr="008A03D6">
        <w:rPr>
          <w:rFonts w:ascii="Arial" w:hAnsi="Arial" w:cs="Arial"/>
          <w:sz w:val="22"/>
        </w:rPr>
        <w:t>State regulations require local school systems to provide different services beyond the regular program in order to develop gifted and talented students’ potential.   Appropriately differentiated programs and services will accelerate, enrich, and extend instructional content, strategies, and products to apply learning (COMAR 13A.04.07 §03).</w:t>
      </w:r>
    </w:p>
    <w:p w:rsidR="00FB44C1" w:rsidRPr="008A03D6" w:rsidRDefault="00FB44C1">
      <w:pPr>
        <w:rPr>
          <w:rFonts w:ascii="Arial" w:hAnsi="Arial" w:cs="Arial"/>
          <w:sz w:val="22"/>
        </w:rPr>
      </w:pPr>
    </w:p>
    <w:p w:rsidR="008A03D6" w:rsidRPr="008A03D6" w:rsidRDefault="008A03D6">
      <w:pPr>
        <w:rPr>
          <w:rFonts w:ascii="Arial" w:hAnsi="Arial" w:cs="Arial"/>
          <w:sz w:val="22"/>
        </w:rPr>
      </w:pPr>
    </w:p>
    <w:tbl>
      <w:tblPr>
        <w:tblW w:w="128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710"/>
        <w:gridCol w:w="11160"/>
      </w:tblGrid>
      <w:tr w:rsidR="008A03D6" w:rsidRPr="008A03D6" w:rsidTr="00E10620">
        <w:trPr>
          <w:trHeight w:val="300"/>
        </w:trPr>
        <w:tc>
          <w:tcPr>
            <w:tcW w:w="1710" w:type="dxa"/>
            <w:tcBorders>
              <w:bottom w:val="single" w:sz="4" w:space="0" w:color="auto"/>
            </w:tcBorders>
            <w:shd w:val="clear" w:color="auto" w:fill="FFFF00"/>
          </w:tcPr>
          <w:p w:rsidR="008A03D6" w:rsidRPr="008A03D6" w:rsidRDefault="00FA6072" w:rsidP="00EA3EB5">
            <w:pPr>
              <w:jc w:val="center"/>
              <w:rPr>
                <w:rFonts w:ascii="Arial" w:hAnsi="Arial" w:cs="Arial"/>
                <w:b/>
                <w:color w:val="000000"/>
              </w:rPr>
            </w:pPr>
            <w:r>
              <w:rPr>
                <w:rFonts w:ascii="Arial" w:hAnsi="Arial" w:cs="Arial"/>
                <w:b/>
                <w:color w:val="000000"/>
              </w:rPr>
              <w:t>Resource</w:t>
            </w:r>
          </w:p>
        </w:tc>
        <w:tc>
          <w:tcPr>
            <w:tcW w:w="11160" w:type="dxa"/>
            <w:shd w:val="clear" w:color="auto" w:fill="FFFF00"/>
            <w:tcMar>
              <w:top w:w="0" w:type="dxa"/>
              <w:left w:w="108" w:type="dxa"/>
              <w:bottom w:w="0" w:type="dxa"/>
              <w:right w:w="108" w:type="dxa"/>
            </w:tcMar>
          </w:tcPr>
          <w:p w:rsidR="008A03D6" w:rsidRPr="008A03D6" w:rsidRDefault="00EA3EB5" w:rsidP="00C76A44">
            <w:pPr>
              <w:jc w:val="center"/>
              <w:rPr>
                <w:rFonts w:ascii="Arial" w:hAnsi="Arial" w:cs="Arial"/>
                <w:b/>
                <w:color w:val="000000"/>
              </w:rPr>
            </w:pPr>
            <w:r>
              <w:rPr>
                <w:rFonts w:ascii="Arial" w:hAnsi="Arial" w:cs="Arial"/>
                <w:b/>
                <w:color w:val="000000"/>
                <w:sz w:val="22"/>
              </w:rPr>
              <w:t>Description</w:t>
            </w:r>
          </w:p>
        </w:tc>
      </w:tr>
      <w:tr w:rsidR="00FA6072" w:rsidRPr="008A03D6" w:rsidTr="00E10620">
        <w:trPr>
          <w:trHeight w:val="600"/>
        </w:trPr>
        <w:tc>
          <w:tcPr>
            <w:tcW w:w="1710" w:type="dxa"/>
          </w:tcPr>
          <w:p w:rsidR="00FA6072" w:rsidRDefault="00FA6072" w:rsidP="00EA3EB5">
            <w:pPr>
              <w:jc w:val="center"/>
              <w:rPr>
                <w:rFonts w:ascii="Arial" w:hAnsi="Arial" w:cs="Arial"/>
                <w:b/>
                <w:i/>
                <w:color w:val="000000"/>
                <w:szCs w:val="24"/>
              </w:rPr>
            </w:pPr>
            <w:r>
              <w:rPr>
                <w:rFonts w:ascii="Arial" w:hAnsi="Arial" w:cs="Arial"/>
                <w:b/>
                <w:i/>
                <w:color w:val="000000"/>
                <w:szCs w:val="24"/>
              </w:rPr>
              <w:t>The 15 Design Principles</w:t>
            </w:r>
          </w:p>
        </w:tc>
        <w:tc>
          <w:tcPr>
            <w:tcW w:w="11160" w:type="dxa"/>
            <w:tcMar>
              <w:top w:w="0" w:type="dxa"/>
              <w:left w:w="108" w:type="dxa"/>
              <w:bottom w:w="0" w:type="dxa"/>
              <w:right w:w="108" w:type="dxa"/>
            </w:tcMar>
          </w:tcPr>
          <w:p w:rsidR="00FA6072" w:rsidRPr="00E10620" w:rsidRDefault="00FA6072" w:rsidP="00FA6072">
            <w:pPr>
              <w:rPr>
                <w:sz w:val="22"/>
              </w:rPr>
            </w:pPr>
            <w:r w:rsidRPr="00E10620">
              <w:rPr>
                <w:rFonts w:ascii="Arial" w:hAnsi="Arial" w:cs="Arial"/>
                <w:sz w:val="22"/>
              </w:rPr>
              <w:t xml:space="preserve">Units and lessons model differentiation of </w:t>
            </w:r>
            <w:r w:rsidRPr="00E10620">
              <w:rPr>
                <w:rFonts w:ascii="Arial" w:hAnsi="Arial" w:cs="Arial"/>
                <w:b/>
                <w:sz w:val="22"/>
              </w:rPr>
              <w:t>content</w:t>
            </w:r>
            <w:r w:rsidRPr="00E10620">
              <w:rPr>
                <w:rFonts w:ascii="Arial" w:hAnsi="Arial" w:cs="Arial"/>
                <w:sz w:val="22"/>
              </w:rPr>
              <w:t xml:space="preserve">, </w:t>
            </w:r>
            <w:r w:rsidRPr="00E10620">
              <w:rPr>
                <w:rFonts w:ascii="Arial" w:hAnsi="Arial" w:cs="Arial"/>
                <w:b/>
                <w:sz w:val="22"/>
              </w:rPr>
              <w:t>process</w:t>
            </w:r>
            <w:r w:rsidRPr="00E10620">
              <w:rPr>
                <w:rFonts w:ascii="Arial" w:hAnsi="Arial" w:cs="Arial"/>
                <w:sz w:val="22"/>
              </w:rPr>
              <w:t xml:space="preserve">, and </w:t>
            </w:r>
            <w:r w:rsidRPr="00E10620">
              <w:rPr>
                <w:rFonts w:ascii="Arial" w:hAnsi="Arial" w:cs="Arial"/>
                <w:b/>
                <w:sz w:val="22"/>
              </w:rPr>
              <w:t>products</w:t>
            </w:r>
            <w:r w:rsidRPr="00E10620">
              <w:rPr>
                <w:rFonts w:ascii="Arial" w:hAnsi="Arial" w:cs="Arial"/>
                <w:sz w:val="22"/>
              </w:rPr>
              <w:t xml:space="preserve"> and apply the Universal Design for Learning (UDL) Guidelines to remove barriers for advanced/gifted and talented students.</w:t>
            </w:r>
          </w:p>
          <w:p w:rsidR="00FA6072" w:rsidRPr="00E10620" w:rsidRDefault="00FA6072" w:rsidP="00EA3EB5">
            <w:pPr>
              <w:rPr>
                <w:rFonts w:ascii="Arial" w:hAnsi="Arial" w:cs="Arial"/>
                <w:b/>
                <w:color w:val="000000"/>
                <w:sz w:val="22"/>
                <w:u w:val="single"/>
              </w:rPr>
            </w:pPr>
          </w:p>
        </w:tc>
      </w:tr>
      <w:tr w:rsidR="008A03D6" w:rsidRPr="008A03D6" w:rsidTr="00E10620">
        <w:trPr>
          <w:trHeight w:val="600"/>
        </w:trPr>
        <w:tc>
          <w:tcPr>
            <w:tcW w:w="1710" w:type="dxa"/>
            <w:tcBorders>
              <w:bottom w:val="single" w:sz="4" w:space="0" w:color="auto"/>
            </w:tcBorders>
          </w:tcPr>
          <w:p w:rsidR="008A03D6" w:rsidRDefault="004D3A0F" w:rsidP="00EA3EB5">
            <w:pPr>
              <w:jc w:val="center"/>
              <w:rPr>
                <w:rFonts w:ascii="Arial" w:hAnsi="Arial" w:cs="Arial"/>
                <w:b/>
                <w:i/>
                <w:color w:val="000000"/>
                <w:szCs w:val="24"/>
              </w:rPr>
            </w:pPr>
            <w:r>
              <w:rPr>
                <w:rFonts w:ascii="Arial" w:hAnsi="Arial" w:cs="Arial"/>
                <w:b/>
                <w:i/>
                <w:color w:val="000000"/>
                <w:szCs w:val="24"/>
              </w:rPr>
              <w:t>Earth- A Fine Balance</w:t>
            </w:r>
          </w:p>
          <w:p w:rsidR="00ED615A" w:rsidRPr="00ED615A" w:rsidRDefault="00ED615A" w:rsidP="00EA3EB5">
            <w:pPr>
              <w:jc w:val="center"/>
              <w:rPr>
                <w:rFonts w:ascii="Arial" w:hAnsi="Arial" w:cs="Arial"/>
                <w:b/>
                <w:color w:val="000000"/>
              </w:rPr>
            </w:pPr>
            <w:r w:rsidRPr="00ED615A">
              <w:rPr>
                <w:rFonts w:ascii="Arial" w:hAnsi="Arial" w:cs="Arial"/>
                <w:b/>
                <w:color w:val="000000"/>
                <w:sz w:val="22"/>
              </w:rPr>
              <w:t>GT Replacement Lesson for Unit Closure</w:t>
            </w:r>
          </w:p>
        </w:tc>
        <w:tc>
          <w:tcPr>
            <w:tcW w:w="11160" w:type="dxa"/>
            <w:tcBorders>
              <w:bottom w:val="single" w:sz="4" w:space="0" w:color="auto"/>
            </w:tcBorders>
            <w:tcMar>
              <w:top w:w="0" w:type="dxa"/>
              <w:left w:w="108" w:type="dxa"/>
              <w:bottom w:w="0" w:type="dxa"/>
              <w:right w:w="108" w:type="dxa"/>
            </w:tcMar>
          </w:tcPr>
          <w:p w:rsidR="008A03D6" w:rsidRPr="00E10620" w:rsidRDefault="00893E4C" w:rsidP="00EA3EB5">
            <w:pPr>
              <w:rPr>
                <w:rFonts w:ascii="Arial" w:hAnsi="Arial" w:cs="Arial"/>
                <w:i/>
                <w:color w:val="000000"/>
                <w:sz w:val="22"/>
                <w:u w:val="single"/>
              </w:rPr>
            </w:pPr>
            <w:r w:rsidRPr="00E10620">
              <w:rPr>
                <w:rFonts w:ascii="Arial" w:hAnsi="Arial" w:cs="Arial"/>
                <w:b/>
                <w:color w:val="000000"/>
                <w:sz w:val="22"/>
                <w:u w:val="single"/>
              </w:rPr>
              <w:t xml:space="preserve">GT Replacement Lesson </w:t>
            </w:r>
            <w:r w:rsidR="008A03D6" w:rsidRPr="00E10620">
              <w:rPr>
                <w:rFonts w:ascii="Arial" w:hAnsi="Arial" w:cs="Arial"/>
                <w:b/>
                <w:color w:val="000000"/>
                <w:sz w:val="22"/>
                <w:u w:val="single"/>
              </w:rPr>
              <w:t xml:space="preserve">for </w:t>
            </w:r>
            <w:r w:rsidR="004D3A0F" w:rsidRPr="00E10620">
              <w:rPr>
                <w:rFonts w:ascii="Arial" w:hAnsi="Arial" w:cs="Arial"/>
                <w:b/>
                <w:i/>
                <w:color w:val="000000"/>
                <w:sz w:val="22"/>
                <w:u w:val="single"/>
              </w:rPr>
              <w:t>Earth- A Fine Balance Unit Closure</w:t>
            </w:r>
          </w:p>
          <w:p w:rsidR="008A03D6" w:rsidRPr="00E10620" w:rsidRDefault="0066094F" w:rsidP="00905649">
            <w:pPr>
              <w:rPr>
                <w:rFonts w:ascii="Arial" w:hAnsi="Arial" w:cs="Arial"/>
                <w:color w:val="000000"/>
                <w:sz w:val="22"/>
              </w:rPr>
            </w:pPr>
            <w:r w:rsidRPr="00E10620">
              <w:rPr>
                <w:rFonts w:ascii="Arial" w:hAnsi="Arial" w:cs="Arial"/>
                <w:sz w:val="22"/>
              </w:rPr>
              <w:t xml:space="preserve">Through authentic research, students will analyze the issue of </w:t>
            </w:r>
            <w:proofErr w:type="spellStart"/>
            <w:r w:rsidRPr="00E10620">
              <w:rPr>
                <w:rFonts w:ascii="Arial" w:hAnsi="Arial" w:cs="Arial"/>
                <w:i/>
                <w:sz w:val="22"/>
              </w:rPr>
              <w:t>fracking</w:t>
            </w:r>
            <w:proofErr w:type="spellEnd"/>
            <w:r w:rsidRPr="00E10620">
              <w:rPr>
                <w:rFonts w:ascii="Arial" w:hAnsi="Arial" w:cs="Arial"/>
                <w:sz w:val="22"/>
              </w:rPr>
              <w:t xml:space="preserve"> from multiple perspectives in order to determine environmental, political, social, geographical, ethical, health, and economical impacts on the balance and harmony of nature. Form, audience, and purpose of student products will be determined based on the researchable question and information supporting the topic of inquiry.  Students will compose an argument: “Based on what you have learned, as a landowner, would you </w:t>
            </w:r>
            <w:proofErr w:type="spellStart"/>
            <w:r w:rsidRPr="00E10620">
              <w:rPr>
                <w:rFonts w:ascii="Arial" w:hAnsi="Arial" w:cs="Arial"/>
                <w:sz w:val="22"/>
              </w:rPr>
              <w:t>lease</w:t>
            </w:r>
            <w:proofErr w:type="spellEnd"/>
            <w:r w:rsidRPr="00E10620">
              <w:rPr>
                <w:rFonts w:ascii="Arial" w:hAnsi="Arial" w:cs="Arial"/>
                <w:sz w:val="22"/>
              </w:rPr>
              <w:t xml:space="preserve"> your land to an energy company for the purpose of </w:t>
            </w:r>
            <w:proofErr w:type="spellStart"/>
            <w:r w:rsidRPr="00E10620">
              <w:rPr>
                <w:rFonts w:ascii="Arial" w:hAnsi="Arial" w:cs="Arial"/>
                <w:sz w:val="22"/>
              </w:rPr>
              <w:t>fracking</w:t>
            </w:r>
            <w:proofErr w:type="spellEnd"/>
            <w:r w:rsidRPr="00E10620">
              <w:rPr>
                <w:rFonts w:ascii="Arial" w:hAnsi="Arial" w:cs="Arial"/>
                <w:sz w:val="22"/>
              </w:rPr>
              <w:t>?  Would you unearth the treasure in your backyard?</w:t>
            </w:r>
          </w:p>
        </w:tc>
      </w:tr>
      <w:tr w:rsidR="00FA6072" w:rsidRPr="008A03D6" w:rsidTr="00E10620">
        <w:trPr>
          <w:trHeight w:val="440"/>
        </w:trPr>
        <w:tc>
          <w:tcPr>
            <w:tcW w:w="12870" w:type="dxa"/>
            <w:gridSpan w:val="2"/>
            <w:shd w:val="clear" w:color="auto" w:fill="FFFF00"/>
          </w:tcPr>
          <w:p w:rsidR="00FA6072" w:rsidRPr="00E10620" w:rsidRDefault="00FA6072" w:rsidP="00FA6072">
            <w:pPr>
              <w:jc w:val="center"/>
              <w:rPr>
                <w:rFonts w:ascii="Arial" w:hAnsi="Arial" w:cs="Arial"/>
                <w:color w:val="000000"/>
                <w:szCs w:val="24"/>
              </w:rPr>
            </w:pPr>
            <w:r w:rsidRPr="00E10620">
              <w:rPr>
                <w:rFonts w:ascii="Arial" w:hAnsi="Arial" w:cs="Arial"/>
                <w:b/>
                <w:i/>
                <w:color w:val="000000"/>
                <w:szCs w:val="24"/>
              </w:rPr>
              <w:t xml:space="preserve">The Search for Authenticity </w:t>
            </w:r>
            <w:r w:rsidRPr="00E10620">
              <w:rPr>
                <w:rFonts w:ascii="Arial" w:hAnsi="Arial" w:cs="Arial"/>
                <w:b/>
                <w:color w:val="000000"/>
                <w:szCs w:val="24"/>
              </w:rPr>
              <w:t>Unit</w:t>
            </w:r>
          </w:p>
        </w:tc>
      </w:tr>
      <w:tr w:rsidR="00FA6072" w:rsidRPr="008A03D6" w:rsidTr="00E10620">
        <w:trPr>
          <w:trHeight w:val="890"/>
        </w:trPr>
        <w:tc>
          <w:tcPr>
            <w:tcW w:w="1710" w:type="dxa"/>
          </w:tcPr>
          <w:p w:rsidR="00FA6072" w:rsidRPr="00E10620" w:rsidRDefault="00FA6072" w:rsidP="00FA6072">
            <w:pPr>
              <w:rPr>
                <w:rFonts w:ascii="Arial" w:hAnsi="Arial" w:cs="Arial"/>
                <w:b/>
                <w:color w:val="000000"/>
                <w:szCs w:val="24"/>
              </w:rPr>
            </w:pPr>
            <w:r w:rsidRPr="00E10620">
              <w:rPr>
                <w:rFonts w:ascii="Arial" w:hAnsi="Arial" w:cs="Arial"/>
                <w:b/>
                <w:color w:val="000000"/>
                <w:szCs w:val="24"/>
              </w:rPr>
              <w:t>Unit Overview</w:t>
            </w:r>
          </w:p>
        </w:tc>
        <w:tc>
          <w:tcPr>
            <w:tcW w:w="11160" w:type="dxa"/>
            <w:tcMar>
              <w:top w:w="0" w:type="dxa"/>
              <w:left w:w="108" w:type="dxa"/>
              <w:bottom w:w="0" w:type="dxa"/>
              <w:right w:w="108" w:type="dxa"/>
            </w:tcMar>
          </w:tcPr>
          <w:p w:rsidR="00FA6072" w:rsidRPr="00E10620" w:rsidRDefault="00FA6072" w:rsidP="00E10620">
            <w:pPr>
              <w:pStyle w:val="NoSpacing1"/>
              <w:rPr>
                <w:rFonts w:ascii="Arial" w:hAnsi="Arial" w:cs="Arial"/>
                <w:i/>
              </w:rPr>
            </w:pPr>
            <w:r w:rsidRPr="00E10620">
              <w:rPr>
                <w:rFonts w:ascii="Arial" w:hAnsi="Arial" w:cs="Arial"/>
                <w:b/>
              </w:rPr>
              <w:t>The Search for Authenticity</w:t>
            </w:r>
            <w:r w:rsidRPr="00E10620">
              <w:rPr>
                <w:rFonts w:ascii="Arial" w:hAnsi="Arial" w:cs="Arial"/>
              </w:rPr>
              <w:t xml:space="preserve"> is a differentiated unit for advanced/gifted and talented students. </w:t>
            </w:r>
            <w:r w:rsidR="00E10620" w:rsidRPr="00E10620">
              <w:rPr>
                <w:rFonts w:ascii="Arial" w:hAnsi="Arial" w:cs="Arial"/>
              </w:rPr>
              <w:t xml:space="preserve">The Essential Questions “How do we determine </w:t>
            </w:r>
            <w:r w:rsidR="00E10620" w:rsidRPr="00E10620">
              <w:rPr>
                <w:rFonts w:ascii="Arial" w:hAnsi="Arial" w:cs="Arial"/>
                <w:i/>
              </w:rPr>
              <w:t>authenticity</w:t>
            </w:r>
            <w:r w:rsidR="00E10620" w:rsidRPr="00E10620">
              <w:rPr>
                <w:rFonts w:ascii="Arial" w:hAnsi="Arial" w:cs="Arial"/>
              </w:rPr>
              <w:t xml:space="preserve">?” and “What does it mean to be an </w:t>
            </w:r>
            <w:r w:rsidR="00E10620" w:rsidRPr="00E10620">
              <w:rPr>
                <w:rFonts w:ascii="Arial" w:hAnsi="Arial" w:cs="Arial"/>
                <w:i/>
              </w:rPr>
              <w:t>authentic</w:t>
            </w:r>
            <w:r w:rsidR="00E10620" w:rsidRPr="00E10620">
              <w:rPr>
                <w:rFonts w:ascii="Arial" w:hAnsi="Arial" w:cs="Arial"/>
              </w:rPr>
              <w:t xml:space="preserve"> person” frame the unit. </w:t>
            </w:r>
            <w:r w:rsidRPr="00E10620">
              <w:rPr>
                <w:rFonts w:ascii="Arial" w:hAnsi="Arial" w:cs="Arial"/>
              </w:rPr>
              <w:t xml:space="preserve">Students will explore the concept of authenticity through a close reading of the text </w:t>
            </w:r>
            <w:r w:rsidRPr="00E10620">
              <w:rPr>
                <w:rFonts w:ascii="Arial" w:hAnsi="Arial" w:cs="Arial"/>
                <w:i/>
              </w:rPr>
              <w:t>The Shakespeare Stealer</w:t>
            </w:r>
            <w:r w:rsidRPr="00E10620">
              <w:rPr>
                <w:rFonts w:ascii="Arial" w:hAnsi="Arial" w:cs="Arial"/>
              </w:rPr>
              <w:t xml:space="preserve"> and informational text on its historical setting, Elizabethan England.  </w:t>
            </w:r>
            <w:r w:rsidR="00E10620" w:rsidRPr="00E10620">
              <w:rPr>
                <w:rFonts w:ascii="Arial" w:hAnsi="Arial" w:cs="Arial"/>
              </w:rPr>
              <w:t xml:space="preserve"> </w:t>
            </w:r>
            <w:r w:rsidRPr="00E10620">
              <w:rPr>
                <w:rFonts w:ascii="Arial" w:hAnsi="Arial" w:cs="Arial"/>
              </w:rPr>
              <w:t xml:space="preserve"> In the Unit Closure, </w:t>
            </w:r>
            <w:r w:rsidRPr="00E10620">
              <w:rPr>
                <w:rFonts w:ascii="Arial" w:hAnsi="Arial" w:cs="Arial"/>
                <w:bCs/>
              </w:rPr>
              <w:t xml:space="preserve">students will analyze, evaluate, and synthesize the overarching concept of authenticity by putting the author “on trial” for creation of </w:t>
            </w:r>
            <w:proofErr w:type="gramStart"/>
            <w:r w:rsidRPr="00E10620">
              <w:rPr>
                <w:rFonts w:ascii="Arial" w:hAnsi="Arial" w:cs="Arial"/>
                <w:bCs/>
              </w:rPr>
              <w:t>an</w:t>
            </w:r>
            <w:proofErr w:type="gramEnd"/>
            <w:r w:rsidRPr="00E10620">
              <w:rPr>
                <w:rFonts w:ascii="Arial" w:hAnsi="Arial" w:cs="Arial"/>
                <w:bCs/>
              </w:rPr>
              <w:t xml:space="preserve"> historically accurate text and by creating an authentic character and scene to insert into the novel.</w:t>
            </w:r>
          </w:p>
        </w:tc>
      </w:tr>
      <w:tr w:rsidR="00FA6072" w:rsidRPr="008A03D6" w:rsidTr="00E10620">
        <w:trPr>
          <w:trHeight w:val="506"/>
        </w:trPr>
        <w:tc>
          <w:tcPr>
            <w:tcW w:w="1710" w:type="dxa"/>
          </w:tcPr>
          <w:p w:rsidR="00FA6072" w:rsidRPr="00E10620" w:rsidRDefault="00E10620" w:rsidP="00FA6072">
            <w:pPr>
              <w:rPr>
                <w:rFonts w:ascii="Arial" w:hAnsi="Arial" w:cs="Arial"/>
                <w:b/>
                <w:color w:val="000000"/>
                <w:szCs w:val="24"/>
              </w:rPr>
            </w:pPr>
            <w:r w:rsidRPr="00E10620">
              <w:rPr>
                <w:rFonts w:ascii="Arial" w:hAnsi="Arial" w:cs="Arial"/>
                <w:b/>
                <w:color w:val="000000"/>
                <w:szCs w:val="24"/>
              </w:rPr>
              <w:t>Lesson Seed 1</w:t>
            </w:r>
          </w:p>
        </w:tc>
        <w:tc>
          <w:tcPr>
            <w:tcW w:w="11160" w:type="dxa"/>
            <w:tcMar>
              <w:top w:w="0" w:type="dxa"/>
              <w:left w:w="108" w:type="dxa"/>
              <w:bottom w:w="0" w:type="dxa"/>
              <w:right w:w="108" w:type="dxa"/>
            </w:tcMar>
          </w:tcPr>
          <w:p w:rsidR="00E10620" w:rsidRPr="00E10620" w:rsidRDefault="00E10620" w:rsidP="00E10620">
            <w:pPr>
              <w:rPr>
                <w:rFonts w:ascii="Arial" w:hAnsi="Arial" w:cs="Arial"/>
                <w:i/>
                <w:sz w:val="22"/>
              </w:rPr>
            </w:pPr>
            <w:r w:rsidRPr="00E10620">
              <w:rPr>
                <w:rFonts w:ascii="Arial" w:hAnsi="Arial" w:cs="Arial"/>
                <w:i/>
                <w:sz w:val="22"/>
              </w:rPr>
              <w:t>The Concept of Authenticity</w:t>
            </w:r>
          </w:p>
          <w:p w:rsidR="00FA6072" w:rsidRPr="00E10620" w:rsidRDefault="00FA6072" w:rsidP="00E10620">
            <w:pPr>
              <w:rPr>
                <w:rFonts w:ascii="Arial" w:hAnsi="Arial" w:cs="Arial"/>
                <w:b/>
                <w:i/>
                <w:sz w:val="22"/>
              </w:rPr>
            </w:pPr>
          </w:p>
        </w:tc>
      </w:tr>
      <w:tr w:rsidR="00FA6072" w:rsidRPr="008A03D6" w:rsidTr="00E10620">
        <w:trPr>
          <w:trHeight w:val="506"/>
        </w:trPr>
        <w:tc>
          <w:tcPr>
            <w:tcW w:w="1710" w:type="dxa"/>
          </w:tcPr>
          <w:p w:rsidR="00FA6072" w:rsidRPr="00E10620" w:rsidRDefault="00E10620" w:rsidP="00E10620">
            <w:pPr>
              <w:rPr>
                <w:rFonts w:ascii="Arial" w:hAnsi="Arial" w:cs="Arial"/>
                <w:b/>
                <w:color w:val="000000"/>
                <w:szCs w:val="24"/>
              </w:rPr>
            </w:pPr>
            <w:r w:rsidRPr="00E10620">
              <w:rPr>
                <w:rFonts w:ascii="Arial" w:hAnsi="Arial" w:cs="Arial"/>
                <w:b/>
                <w:color w:val="000000"/>
                <w:szCs w:val="24"/>
              </w:rPr>
              <w:t>Lesson Seed 2</w:t>
            </w:r>
          </w:p>
        </w:tc>
        <w:tc>
          <w:tcPr>
            <w:tcW w:w="11160" w:type="dxa"/>
            <w:tcMar>
              <w:top w:w="0" w:type="dxa"/>
              <w:left w:w="108" w:type="dxa"/>
              <w:bottom w:w="0" w:type="dxa"/>
              <w:right w:w="108" w:type="dxa"/>
            </w:tcMar>
          </w:tcPr>
          <w:p w:rsidR="00FA6072" w:rsidRPr="00E10620" w:rsidRDefault="00E10620" w:rsidP="00C25E8C">
            <w:pPr>
              <w:rPr>
                <w:rFonts w:ascii="Arial" w:hAnsi="Arial" w:cs="Arial"/>
                <w:i/>
                <w:sz w:val="22"/>
              </w:rPr>
            </w:pPr>
            <w:r w:rsidRPr="00E10620">
              <w:rPr>
                <w:rFonts w:ascii="Arial" w:hAnsi="Arial" w:cs="Arial"/>
                <w:i/>
                <w:sz w:val="22"/>
              </w:rPr>
              <w:t>Short Research on the Elizabethan Time Period</w:t>
            </w:r>
          </w:p>
        </w:tc>
      </w:tr>
      <w:tr w:rsidR="00FA6072" w:rsidRPr="008A03D6" w:rsidTr="00E10620">
        <w:trPr>
          <w:trHeight w:val="506"/>
        </w:trPr>
        <w:tc>
          <w:tcPr>
            <w:tcW w:w="1710" w:type="dxa"/>
          </w:tcPr>
          <w:p w:rsidR="00FA6072" w:rsidRPr="00E10620" w:rsidRDefault="00E10620" w:rsidP="00E10620">
            <w:pPr>
              <w:rPr>
                <w:rFonts w:ascii="Arial" w:hAnsi="Arial" w:cs="Arial"/>
                <w:b/>
                <w:color w:val="000000"/>
                <w:szCs w:val="24"/>
              </w:rPr>
            </w:pPr>
            <w:r w:rsidRPr="00E10620">
              <w:rPr>
                <w:rFonts w:ascii="Arial" w:hAnsi="Arial" w:cs="Arial"/>
                <w:b/>
                <w:color w:val="000000"/>
                <w:szCs w:val="24"/>
              </w:rPr>
              <w:t>Lesson Seed 3</w:t>
            </w:r>
          </w:p>
        </w:tc>
        <w:tc>
          <w:tcPr>
            <w:tcW w:w="11160" w:type="dxa"/>
            <w:tcMar>
              <w:top w:w="0" w:type="dxa"/>
              <w:left w:w="108" w:type="dxa"/>
              <w:bottom w:w="0" w:type="dxa"/>
              <w:right w:w="108" w:type="dxa"/>
            </w:tcMar>
          </w:tcPr>
          <w:p w:rsidR="00E10620" w:rsidRPr="00E10620" w:rsidRDefault="00E10620" w:rsidP="00E10620">
            <w:pPr>
              <w:rPr>
                <w:rFonts w:ascii="Arial" w:hAnsi="Arial" w:cs="Arial"/>
                <w:i/>
                <w:sz w:val="22"/>
              </w:rPr>
            </w:pPr>
            <w:r w:rsidRPr="00E10620">
              <w:rPr>
                <w:rFonts w:ascii="Arial" w:hAnsi="Arial" w:cs="Arial"/>
                <w:i/>
                <w:sz w:val="22"/>
              </w:rPr>
              <w:t>Authenticity Shared Inquiry Discussion</w:t>
            </w:r>
          </w:p>
          <w:p w:rsidR="00FA6072" w:rsidRPr="00E10620" w:rsidRDefault="00FA6072" w:rsidP="00C25E8C">
            <w:pPr>
              <w:rPr>
                <w:rFonts w:ascii="Arial" w:hAnsi="Arial" w:cs="Arial"/>
                <w:b/>
                <w:i/>
                <w:sz w:val="22"/>
              </w:rPr>
            </w:pPr>
          </w:p>
        </w:tc>
      </w:tr>
      <w:tr w:rsidR="00FA6072" w:rsidRPr="008A03D6" w:rsidTr="00E10620">
        <w:trPr>
          <w:trHeight w:val="506"/>
        </w:trPr>
        <w:tc>
          <w:tcPr>
            <w:tcW w:w="1710" w:type="dxa"/>
          </w:tcPr>
          <w:p w:rsidR="00FA6072" w:rsidRPr="00E10620" w:rsidRDefault="00E10620" w:rsidP="00FA6072">
            <w:pPr>
              <w:rPr>
                <w:rFonts w:ascii="Arial" w:hAnsi="Arial" w:cs="Arial"/>
                <w:b/>
                <w:color w:val="000000"/>
                <w:szCs w:val="24"/>
              </w:rPr>
            </w:pPr>
            <w:r w:rsidRPr="00E10620">
              <w:rPr>
                <w:rFonts w:ascii="Arial" w:hAnsi="Arial" w:cs="Arial"/>
                <w:b/>
                <w:color w:val="000000"/>
                <w:szCs w:val="24"/>
              </w:rPr>
              <w:t xml:space="preserve">Lesson Seed </w:t>
            </w:r>
            <w:r>
              <w:rPr>
                <w:rFonts w:ascii="Arial" w:hAnsi="Arial" w:cs="Arial"/>
                <w:b/>
                <w:color w:val="000000"/>
                <w:szCs w:val="24"/>
              </w:rPr>
              <w:t>4</w:t>
            </w:r>
          </w:p>
        </w:tc>
        <w:tc>
          <w:tcPr>
            <w:tcW w:w="11160" w:type="dxa"/>
            <w:tcMar>
              <w:top w:w="0" w:type="dxa"/>
              <w:left w:w="108" w:type="dxa"/>
              <w:bottom w:w="0" w:type="dxa"/>
              <w:right w:w="108" w:type="dxa"/>
            </w:tcMar>
          </w:tcPr>
          <w:p w:rsidR="00FA6072" w:rsidRPr="00E10620" w:rsidRDefault="00E10620" w:rsidP="00C25E8C">
            <w:pPr>
              <w:rPr>
                <w:rFonts w:ascii="Arial" w:hAnsi="Arial" w:cs="Arial"/>
                <w:b/>
                <w:i/>
                <w:sz w:val="22"/>
              </w:rPr>
            </w:pPr>
            <w:r w:rsidRPr="00E10620">
              <w:rPr>
                <w:rFonts w:ascii="Arial" w:hAnsi="Arial" w:cs="Arial"/>
                <w:i/>
                <w:sz w:val="22"/>
              </w:rPr>
              <w:t>The Hero’s Journey Archetype</w:t>
            </w:r>
          </w:p>
        </w:tc>
      </w:tr>
      <w:tr w:rsidR="00FA6072" w:rsidRPr="008A03D6" w:rsidTr="00E10620">
        <w:trPr>
          <w:trHeight w:val="506"/>
        </w:trPr>
        <w:tc>
          <w:tcPr>
            <w:tcW w:w="1710" w:type="dxa"/>
          </w:tcPr>
          <w:p w:rsidR="00FA6072" w:rsidRPr="00E10620" w:rsidRDefault="00E10620" w:rsidP="00FA6072">
            <w:pPr>
              <w:rPr>
                <w:rFonts w:ascii="Arial" w:hAnsi="Arial" w:cs="Arial"/>
                <w:b/>
                <w:color w:val="000000"/>
                <w:szCs w:val="24"/>
              </w:rPr>
            </w:pPr>
            <w:r w:rsidRPr="00E10620">
              <w:rPr>
                <w:rFonts w:ascii="Arial" w:hAnsi="Arial" w:cs="Arial"/>
                <w:b/>
                <w:color w:val="000000"/>
                <w:szCs w:val="24"/>
              </w:rPr>
              <w:t xml:space="preserve">Lesson Seed </w:t>
            </w:r>
            <w:r>
              <w:rPr>
                <w:rFonts w:ascii="Arial" w:hAnsi="Arial" w:cs="Arial"/>
                <w:b/>
                <w:color w:val="000000"/>
                <w:szCs w:val="24"/>
              </w:rPr>
              <w:t>5</w:t>
            </w:r>
          </w:p>
        </w:tc>
        <w:tc>
          <w:tcPr>
            <w:tcW w:w="11160" w:type="dxa"/>
            <w:tcMar>
              <w:top w:w="0" w:type="dxa"/>
              <w:left w:w="108" w:type="dxa"/>
              <w:bottom w:w="0" w:type="dxa"/>
              <w:right w:w="108" w:type="dxa"/>
            </w:tcMar>
          </w:tcPr>
          <w:p w:rsidR="00E10620" w:rsidRPr="00E10620" w:rsidRDefault="00E10620" w:rsidP="00E10620">
            <w:pPr>
              <w:rPr>
                <w:rFonts w:ascii="Arial" w:hAnsi="Arial" w:cs="Arial"/>
                <w:i/>
                <w:sz w:val="22"/>
              </w:rPr>
            </w:pPr>
            <w:r w:rsidRPr="00E10620">
              <w:rPr>
                <w:rFonts w:ascii="Arial" w:hAnsi="Arial" w:cs="Arial"/>
                <w:i/>
                <w:sz w:val="22"/>
              </w:rPr>
              <w:t>Close Reading of Polonius’ Monologue</w:t>
            </w:r>
          </w:p>
          <w:p w:rsidR="00FA6072" w:rsidRPr="00E10620" w:rsidRDefault="00FA6072" w:rsidP="00C25E8C">
            <w:pPr>
              <w:rPr>
                <w:rFonts w:ascii="Arial" w:hAnsi="Arial" w:cs="Arial"/>
                <w:b/>
                <w:i/>
                <w:sz w:val="22"/>
              </w:rPr>
            </w:pPr>
          </w:p>
        </w:tc>
      </w:tr>
      <w:tr w:rsidR="00FA6072" w:rsidRPr="008A03D6" w:rsidTr="00E10620">
        <w:trPr>
          <w:trHeight w:val="506"/>
        </w:trPr>
        <w:tc>
          <w:tcPr>
            <w:tcW w:w="1710" w:type="dxa"/>
          </w:tcPr>
          <w:p w:rsidR="00FA6072" w:rsidRPr="00E10620" w:rsidRDefault="00E10620" w:rsidP="00FA6072">
            <w:pPr>
              <w:rPr>
                <w:rFonts w:ascii="Arial" w:hAnsi="Arial" w:cs="Arial"/>
                <w:b/>
                <w:color w:val="000000"/>
                <w:szCs w:val="24"/>
              </w:rPr>
            </w:pPr>
            <w:r w:rsidRPr="00E10620">
              <w:rPr>
                <w:rFonts w:ascii="Arial" w:hAnsi="Arial" w:cs="Arial"/>
                <w:b/>
                <w:color w:val="000000"/>
                <w:szCs w:val="24"/>
              </w:rPr>
              <w:t xml:space="preserve">Lesson Seed </w:t>
            </w:r>
            <w:r>
              <w:rPr>
                <w:rFonts w:ascii="Arial" w:hAnsi="Arial" w:cs="Arial"/>
                <w:b/>
                <w:color w:val="000000"/>
                <w:szCs w:val="24"/>
              </w:rPr>
              <w:t>6</w:t>
            </w:r>
          </w:p>
        </w:tc>
        <w:tc>
          <w:tcPr>
            <w:tcW w:w="11160" w:type="dxa"/>
            <w:tcMar>
              <w:top w:w="0" w:type="dxa"/>
              <w:left w:w="108" w:type="dxa"/>
              <w:bottom w:w="0" w:type="dxa"/>
              <w:right w:w="108" w:type="dxa"/>
            </w:tcMar>
          </w:tcPr>
          <w:p w:rsidR="00E10620" w:rsidRPr="00E10620" w:rsidRDefault="00E10620" w:rsidP="00E10620">
            <w:pPr>
              <w:rPr>
                <w:rFonts w:ascii="Arial" w:hAnsi="Arial" w:cs="Arial"/>
                <w:i/>
                <w:sz w:val="22"/>
              </w:rPr>
            </w:pPr>
            <w:r w:rsidRPr="00E10620">
              <w:rPr>
                <w:rFonts w:ascii="Arial" w:hAnsi="Arial" w:cs="Arial"/>
                <w:i/>
                <w:sz w:val="22"/>
              </w:rPr>
              <w:t>Performing a Shakespearean Monologue or Soliloquy</w:t>
            </w:r>
          </w:p>
          <w:p w:rsidR="00FA6072" w:rsidRPr="00E10620" w:rsidRDefault="00FA6072" w:rsidP="00C25E8C">
            <w:pPr>
              <w:rPr>
                <w:rFonts w:ascii="Arial" w:hAnsi="Arial" w:cs="Arial"/>
                <w:b/>
                <w:i/>
                <w:sz w:val="22"/>
              </w:rPr>
            </w:pPr>
          </w:p>
        </w:tc>
      </w:tr>
      <w:tr w:rsidR="00FA6072" w:rsidRPr="008A03D6" w:rsidTr="00E10620">
        <w:trPr>
          <w:trHeight w:val="506"/>
        </w:trPr>
        <w:tc>
          <w:tcPr>
            <w:tcW w:w="1710" w:type="dxa"/>
          </w:tcPr>
          <w:p w:rsidR="00FA6072" w:rsidRPr="00E10620" w:rsidRDefault="00E10620" w:rsidP="00FA6072">
            <w:pPr>
              <w:rPr>
                <w:rFonts w:ascii="Arial" w:hAnsi="Arial" w:cs="Arial"/>
                <w:b/>
                <w:color w:val="000000"/>
                <w:szCs w:val="24"/>
              </w:rPr>
            </w:pPr>
            <w:r w:rsidRPr="00E10620">
              <w:rPr>
                <w:rFonts w:ascii="Arial" w:hAnsi="Arial" w:cs="Arial"/>
                <w:b/>
                <w:color w:val="000000"/>
                <w:szCs w:val="24"/>
              </w:rPr>
              <w:t xml:space="preserve">Lesson Seed </w:t>
            </w:r>
            <w:r>
              <w:rPr>
                <w:rFonts w:ascii="Arial" w:hAnsi="Arial" w:cs="Arial"/>
                <w:b/>
                <w:color w:val="000000"/>
                <w:szCs w:val="24"/>
              </w:rPr>
              <w:t>7</w:t>
            </w:r>
          </w:p>
        </w:tc>
        <w:tc>
          <w:tcPr>
            <w:tcW w:w="11160" w:type="dxa"/>
            <w:tcMar>
              <w:top w:w="0" w:type="dxa"/>
              <w:left w:w="108" w:type="dxa"/>
              <w:bottom w:w="0" w:type="dxa"/>
              <w:right w:w="108" w:type="dxa"/>
            </w:tcMar>
          </w:tcPr>
          <w:p w:rsidR="00E10620" w:rsidRPr="00E10620" w:rsidRDefault="00E10620" w:rsidP="00E10620">
            <w:pPr>
              <w:rPr>
                <w:rFonts w:ascii="Arial" w:hAnsi="Arial" w:cs="Arial"/>
                <w:i/>
                <w:sz w:val="22"/>
              </w:rPr>
            </w:pPr>
            <w:r w:rsidRPr="00E10620">
              <w:rPr>
                <w:rFonts w:ascii="Arial" w:hAnsi="Arial" w:cs="Arial"/>
                <w:i/>
                <w:sz w:val="22"/>
              </w:rPr>
              <w:t>Analyzing an Artist’s Interpretation of Shakespeare’s Work</w:t>
            </w:r>
          </w:p>
          <w:p w:rsidR="00FA6072" w:rsidRPr="00E10620" w:rsidRDefault="00FA6072" w:rsidP="00C25E8C">
            <w:pPr>
              <w:rPr>
                <w:rFonts w:ascii="Arial" w:hAnsi="Arial" w:cs="Arial"/>
                <w:b/>
                <w:i/>
                <w:sz w:val="22"/>
              </w:rPr>
            </w:pPr>
          </w:p>
        </w:tc>
      </w:tr>
      <w:tr w:rsidR="00FA6072" w:rsidRPr="008A03D6" w:rsidTr="00E10620">
        <w:trPr>
          <w:trHeight w:val="506"/>
        </w:trPr>
        <w:tc>
          <w:tcPr>
            <w:tcW w:w="1710" w:type="dxa"/>
          </w:tcPr>
          <w:p w:rsidR="00FA6072" w:rsidRPr="00E10620" w:rsidRDefault="00E10620" w:rsidP="00E10620">
            <w:pPr>
              <w:rPr>
                <w:rFonts w:ascii="Arial" w:hAnsi="Arial" w:cs="Arial"/>
                <w:b/>
                <w:color w:val="000000"/>
                <w:szCs w:val="24"/>
              </w:rPr>
            </w:pPr>
            <w:r w:rsidRPr="00E10620">
              <w:rPr>
                <w:rFonts w:ascii="Arial" w:hAnsi="Arial" w:cs="Arial"/>
                <w:b/>
                <w:color w:val="000000"/>
                <w:szCs w:val="24"/>
              </w:rPr>
              <w:t xml:space="preserve">Lesson Seed </w:t>
            </w:r>
            <w:r>
              <w:rPr>
                <w:rFonts w:ascii="Arial" w:hAnsi="Arial" w:cs="Arial"/>
                <w:b/>
                <w:color w:val="000000"/>
                <w:szCs w:val="24"/>
              </w:rPr>
              <w:t>8</w:t>
            </w:r>
          </w:p>
        </w:tc>
        <w:tc>
          <w:tcPr>
            <w:tcW w:w="11160" w:type="dxa"/>
            <w:tcMar>
              <w:top w:w="0" w:type="dxa"/>
              <w:left w:w="108" w:type="dxa"/>
              <w:bottom w:w="0" w:type="dxa"/>
              <w:right w:w="108" w:type="dxa"/>
            </w:tcMar>
          </w:tcPr>
          <w:p w:rsidR="00FA6072" w:rsidRPr="00E10620" w:rsidRDefault="00E10620" w:rsidP="00C25E8C">
            <w:pPr>
              <w:rPr>
                <w:rFonts w:ascii="Arial" w:hAnsi="Arial" w:cs="Arial"/>
                <w:b/>
                <w:i/>
                <w:sz w:val="22"/>
              </w:rPr>
            </w:pPr>
            <w:r w:rsidRPr="00E10620">
              <w:rPr>
                <w:rFonts w:ascii="Arial" w:hAnsi="Arial" w:cs="Arial"/>
                <w:i/>
                <w:sz w:val="22"/>
              </w:rPr>
              <w:t>Unit Closure: Creating Authenticity</w:t>
            </w:r>
          </w:p>
        </w:tc>
      </w:tr>
    </w:tbl>
    <w:p w:rsidR="00FB44C1" w:rsidRDefault="00FB44C1" w:rsidP="00C76A44">
      <w:pPr>
        <w:rPr>
          <w:rFonts w:ascii="Arial" w:hAnsi="Arial" w:cs="Arial"/>
          <w:sz w:val="22"/>
        </w:rPr>
      </w:pPr>
    </w:p>
    <w:p w:rsidR="00FB44C1" w:rsidRDefault="00FB44C1">
      <w:pPr>
        <w:rPr>
          <w:sz w:val="22"/>
        </w:rPr>
      </w:pPr>
    </w:p>
    <w:p w:rsidR="00FB44C1" w:rsidRDefault="00FB44C1">
      <w:pPr>
        <w:rPr>
          <w:sz w:val="22"/>
        </w:rPr>
      </w:pPr>
      <w:r>
        <w:rPr>
          <w:sz w:val="22"/>
        </w:rPr>
        <w:br w:type="page"/>
      </w:r>
    </w:p>
    <w:p w:rsidR="0066094F" w:rsidRDefault="0066094F">
      <w:pPr>
        <w:rPr>
          <w:sz w:val="22"/>
        </w:rPr>
      </w:pPr>
    </w:p>
    <w:p w:rsidR="00D25543" w:rsidRDefault="00D25543" w:rsidP="00905649">
      <w:pPr>
        <w:spacing w:line="276" w:lineRule="auto"/>
        <w:rPr>
          <w:rFonts w:ascii="Arial" w:hAnsi="Arial" w:cs="Arial"/>
          <w:b/>
          <w:color w:val="000000"/>
          <w:sz w:val="28"/>
          <w:szCs w:val="28"/>
        </w:rPr>
      </w:pPr>
    </w:p>
    <w:p w:rsidR="00D25543" w:rsidRPr="00FB44C1" w:rsidRDefault="00D25543" w:rsidP="00905649">
      <w:pPr>
        <w:spacing w:line="276" w:lineRule="auto"/>
        <w:rPr>
          <w:rFonts w:ascii="Arial" w:hAnsi="Arial" w:cs="Arial"/>
          <w:i/>
          <w:color w:val="000000"/>
          <w:sz w:val="28"/>
          <w:szCs w:val="28"/>
        </w:rPr>
      </w:pPr>
    </w:p>
    <w:p w:rsidR="00D25543" w:rsidRPr="00C76A44" w:rsidRDefault="00D25543" w:rsidP="00D25543">
      <w:pPr>
        <w:rPr>
          <w:sz w:val="22"/>
        </w:rPr>
      </w:pPr>
    </w:p>
    <w:p w:rsidR="00FB44C1" w:rsidRPr="008A03D6" w:rsidRDefault="00FB44C1">
      <w:pPr>
        <w:rPr>
          <w:sz w:val="22"/>
        </w:rPr>
      </w:pPr>
    </w:p>
    <w:sectPr w:rsidR="00FB44C1" w:rsidRPr="008A03D6" w:rsidSect="00905649">
      <w:pgSz w:w="15840" w:h="12240" w:orient="landscape"/>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13C26"/>
    <w:multiLevelType w:val="hybridMultilevel"/>
    <w:tmpl w:val="36B4F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155663C"/>
    <w:multiLevelType w:val="hybridMultilevel"/>
    <w:tmpl w:val="3FB21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D944E4"/>
    <w:multiLevelType w:val="hybridMultilevel"/>
    <w:tmpl w:val="9D1CD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A66E13"/>
    <w:multiLevelType w:val="hybridMultilevel"/>
    <w:tmpl w:val="2B84C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E1A6A09"/>
    <w:multiLevelType w:val="hybridMultilevel"/>
    <w:tmpl w:val="51AE1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2F7D70"/>
    <w:multiLevelType w:val="hybridMultilevel"/>
    <w:tmpl w:val="296C5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9F55A0"/>
    <w:multiLevelType w:val="hybridMultilevel"/>
    <w:tmpl w:val="3FB21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6710F0"/>
    <w:multiLevelType w:val="hybridMultilevel"/>
    <w:tmpl w:val="3FB21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3663C0"/>
    <w:multiLevelType w:val="multilevel"/>
    <w:tmpl w:val="648229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7CB62006"/>
    <w:multiLevelType w:val="hybridMultilevel"/>
    <w:tmpl w:val="569C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8"/>
  </w:num>
  <w:num w:numId="6">
    <w:abstractNumId w:val="9"/>
  </w:num>
  <w:num w:numId="7">
    <w:abstractNumId w:val="5"/>
  </w:num>
  <w:num w:numId="8">
    <w:abstractNumId w:val="6"/>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861C4"/>
    <w:rsid w:val="000C2037"/>
    <w:rsid w:val="000C29F0"/>
    <w:rsid w:val="00147056"/>
    <w:rsid w:val="00167000"/>
    <w:rsid w:val="001C673B"/>
    <w:rsid w:val="00213E08"/>
    <w:rsid w:val="00283202"/>
    <w:rsid w:val="00305296"/>
    <w:rsid w:val="00315BAB"/>
    <w:rsid w:val="0032183A"/>
    <w:rsid w:val="00321F25"/>
    <w:rsid w:val="003861C4"/>
    <w:rsid w:val="003D4007"/>
    <w:rsid w:val="004D3A0F"/>
    <w:rsid w:val="005443D9"/>
    <w:rsid w:val="00612E50"/>
    <w:rsid w:val="0066094F"/>
    <w:rsid w:val="00677D17"/>
    <w:rsid w:val="006B05C4"/>
    <w:rsid w:val="006C6295"/>
    <w:rsid w:val="007977B7"/>
    <w:rsid w:val="008064CB"/>
    <w:rsid w:val="00893E4C"/>
    <w:rsid w:val="008A03D6"/>
    <w:rsid w:val="00905649"/>
    <w:rsid w:val="00A05230"/>
    <w:rsid w:val="00B8459C"/>
    <w:rsid w:val="00C040C0"/>
    <w:rsid w:val="00C25E8C"/>
    <w:rsid w:val="00C333F4"/>
    <w:rsid w:val="00C76A44"/>
    <w:rsid w:val="00CD0E35"/>
    <w:rsid w:val="00D0185D"/>
    <w:rsid w:val="00D25543"/>
    <w:rsid w:val="00DD3C55"/>
    <w:rsid w:val="00DE2287"/>
    <w:rsid w:val="00E10620"/>
    <w:rsid w:val="00EA3EB5"/>
    <w:rsid w:val="00ED615A"/>
    <w:rsid w:val="00EF1F4D"/>
    <w:rsid w:val="00F2786E"/>
    <w:rsid w:val="00FA6072"/>
    <w:rsid w:val="00FB44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0E3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3E4C"/>
    <w:rPr>
      <w:rFonts w:ascii="Times New Roman" w:hAnsi="Times New Roman"/>
      <w:sz w:val="24"/>
    </w:rPr>
  </w:style>
  <w:style w:type="paragraph" w:styleId="ListParagraph">
    <w:name w:val="List Paragraph"/>
    <w:basedOn w:val="Normal"/>
    <w:uiPriority w:val="34"/>
    <w:qFormat/>
    <w:rsid w:val="00FB44C1"/>
    <w:pPr>
      <w:ind w:left="720"/>
      <w:contextualSpacing/>
    </w:pPr>
    <w:rPr>
      <w:rFonts w:eastAsia="Times New Roman" w:cs="Times New Roman"/>
      <w:szCs w:val="24"/>
    </w:rPr>
  </w:style>
  <w:style w:type="paragraph" w:styleId="Footer">
    <w:name w:val="footer"/>
    <w:basedOn w:val="Normal"/>
    <w:link w:val="FooterChar"/>
    <w:rsid w:val="00305296"/>
    <w:pPr>
      <w:tabs>
        <w:tab w:val="center" w:pos="4320"/>
        <w:tab w:val="right" w:pos="8640"/>
      </w:tabs>
    </w:pPr>
    <w:rPr>
      <w:rFonts w:eastAsia="Times New Roman" w:cs="Times New Roman"/>
      <w:szCs w:val="24"/>
    </w:rPr>
  </w:style>
  <w:style w:type="character" w:customStyle="1" w:styleId="FooterChar">
    <w:name w:val="Footer Char"/>
    <w:basedOn w:val="DefaultParagraphFont"/>
    <w:link w:val="Footer"/>
    <w:rsid w:val="00305296"/>
    <w:rPr>
      <w:rFonts w:ascii="Times New Roman" w:eastAsia="Times New Roman" w:hAnsi="Times New Roman" w:cs="Times New Roman"/>
      <w:sz w:val="24"/>
      <w:szCs w:val="24"/>
    </w:rPr>
  </w:style>
  <w:style w:type="table" w:styleId="TableGrid">
    <w:name w:val="Table Grid"/>
    <w:basedOn w:val="TableNormal"/>
    <w:uiPriority w:val="59"/>
    <w:rsid w:val="00ED61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Spacing1">
    <w:name w:val="No Spacing1"/>
    <w:uiPriority w:val="1"/>
    <w:qFormat/>
    <w:rsid w:val="00E1062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jpaynter</dc:creator>
  <cp:lastModifiedBy>jpaynter</cp:lastModifiedBy>
  <cp:revision>3</cp:revision>
  <dcterms:created xsi:type="dcterms:W3CDTF">2014-03-27T18:31:00Z</dcterms:created>
  <dcterms:modified xsi:type="dcterms:W3CDTF">2014-03-27T18:54:00Z</dcterms:modified>
</cp:coreProperties>
</file>